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03" w:rsidRDefault="00271803">
      <w:pPr>
        <w:rPr>
          <w:b/>
          <w:i/>
        </w:rPr>
      </w:pPr>
      <w:bookmarkStart w:id="0" w:name="_GoBack"/>
      <w:bookmarkEnd w:id="0"/>
    </w:p>
    <w:p w:rsidR="00271803" w:rsidRDefault="004C59F1">
      <w:r>
        <w:rPr>
          <w:b/>
          <w:i/>
        </w:rPr>
        <w:t>Διεύθυνση Τεχνικών Υπηρεσιών ΑΘΗΝΑ 26/07/2016</w:t>
      </w:r>
    </w:p>
    <w:p w:rsidR="00271803" w:rsidRDefault="004C59F1">
      <w:pPr>
        <w:rPr>
          <w:b/>
          <w:i/>
        </w:rPr>
      </w:pPr>
      <w:r>
        <w:rPr>
          <w:b/>
          <w:i/>
        </w:rPr>
        <w:t xml:space="preserve">             Τμήμα Καθαριότητας                                                       </w:t>
      </w:r>
    </w:p>
    <w:p w:rsidR="00271803" w:rsidRDefault="004C59F1">
      <w:pPr>
        <w:rPr>
          <w:b/>
          <w:i/>
        </w:rPr>
      </w:pPr>
      <w:r>
        <w:rPr>
          <w:b/>
          <w:i/>
        </w:rPr>
        <w:t xml:space="preserve">               </w:t>
      </w:r>
      <w:proofErr w:type="spellStart"/>
      <w:r>
        <w:rPr>
          <w:b/>
          <w:i/>
        </w:rPr>
        <w:t>Τηλ</w:t>
      </w:r>
      <w:proofErr w:type="spellEnd"/>
      <w:r>
        <w:rPr>
          <w:b/>
          <w:i/>
        </w:rPr>
        <w:t xml:space="preserve">. 210 3707193                                                </w:t>
      </w:r>
    </w:p>
    <w:p w:rsidR="00271803" w:rsidRDefault="004C59F1">
      <w:pPr>
        <w:rPr>
          <w:b/>
          <w:i/>
        </w:rPr>
      </w:pPr>
      <w:r>
        <w:rPr>
          <w:b/>
          <w:i/>
        </w:rPr>
        <w:t xml:space="preserve">               </w:t>
      </w:r>
      <w:proofErr w:type="spellStart"/>
      <w:r>
        <w:rPr>
          <w:b/>
          <w:i/>
        </w:rPr>
        <w:t>Fax</w:t>
      </w:r>
      <w:proofErr w:type="spellEnd"/>
      <w:r>
        <w:rPr>
          <w:b/>
          <w:i/>
        </w:rPr>
        <w:t xml:space="preserve"> 210 3707247                                                </w:t>
      </w:r>
    </w:p>
    <w:p w:rsidR="00271803" w:rsidRDefault="00271803">
      <w:pPr>
        <w:rPr>
          <w:b/>
        </w:rPr>
      </w:pPr>
    </w:p>
    <w:p w:rsidR="00271803" w:rsidRDefault="004C59F1">
      <w:pPr>
        <w:rPr>
          <w:b/>
        </w:rPr>
      </w:pPr>
      <w:r>
        <w:rPr>
          <w:b/>
        </w:rPr>
        <w:t>Τεχνικές προδιαγραφές και ετήσιες ποσότητες προϊόντων</w:t>
      </w:r>
    </w:p>
    <w:p w:rsidR="00271803" w:rsidRDefault="00271803">
      <w:pPr>
        <w:rPr>
          <w:b/>
        </w:rPr>
      </w:pPr>
    </w:p>
    <w:p w:rsidR="00271803" w:rsidRDefault="00271803">
      <w:pPr>
        <w:rPr>
          <w:b/>
        </w:rPr>
      </w:pPr>
    </w:p>
    <w:p w:rsidR="00271803" w:rsidRDefault="004C59F1">
      <w:pPr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Χειροπετσέτες</w:t>
      </w:r>
      <w:proofErr w:type="spellEnd"/>
      <w:r>
        <w:rPr>
          <w:b/>
          <w:u w:val="single"/>
        </w:rPr>
        <w:t xml:space="preserve"> </w:t>
      </w:r>
    </w:p>
    <w:p w:rsidR="00271803" w:rsidRDefault="004C59F1">
      <w:r>
        <w:t xml:space="preserve">Ρολά </w:t>
      </w:r>
      <w:proofErr w:type="spellStart"/>
      <w:r>
        <w:t>χειροπετσετών</w:t>
      </w:r>
      <w:proofErr w:type="spellEnd"/>
      <w:r>
        <w:t xml:space="preserve"> ΑΑΑ΄ ποιότητας, λευκασμένου χημικού πολτού από 100% καθαρή χαρτομάζα, χωρίς χημικά πρό</w:t>
      </w:r>
      <w:r>
        <w:t>σθετα και απαγορευμένες χημικές ουσίες π.χ. οπτικά λευκαντικά.</w:t>
      </w:r>
    </w:p>
    <w:p w:rsidR="00271803" w:rsidRDefault="004C59F1">
      <w:r>
        <w:t xml:space="preserve">Το πλάτος του ρολού θα πρέπει να είναι  20 εκατοστά. </w:t>
      </w:r>
    </w:p>
    <w:p w:rsidR="00271803" w:rsidRDefault="004C59F1">
      <w:r>
        <w:t xml:space="preserve"> Προτεινόμενο βάρος ρολού 800gr.  έως 1000gr.  </w:t>
      </w:r>
    </w:p>
    <w:p w:rsidR="00271803" w:rsidRDefault="004C59F1">
      <w:r>
        <w:t xml:space="preserve">Ενδεικτικό ειδικό βάρος χαρτιού για </w:t>
      </w:r>
      <w:proofErr w:type="spellStart"/>
      <w:r>
        <w:t>χειροπετσέτες</w:t>
      </w:r>
      <w:proofErr w:type="spellEnd"/>
      <w:r>
        <w:t xml:space="preserve"> 45</w:t>
      </w:r>
      <w:r>
        <w:rPr>
          <w:lang w:val="en-US" w:bidi="en-US"/>
        </w:rPr>
        <w:t>gr</w:t>
      </w:r>
      <w:r>
        <w:t xml:space="preserve">/ </w:t>
      </w:r>
      <w:r>
        <w:rPr>
          <w:lang w:val="en-US" w:bidi="en-US"/>
        </w:rPr>
        <w:t>m</w:t>
      </w:r>
      <w:r>
        <w:rPr>
          <w:vertAlign w:val="superscript"/>
          <w:lang w:bidi="en-US"/>
        </w:rPr>
        <w:t>2</w:t>
      </w:r>
    </w:p>
    <w:p w:rsidR="00271803" w:rsidRDefault="004C59F1">
      <w:pPr>
        <w:rPr>
          <w:b/>
        </w:rPr>
      </w:pPr>
      <w:r>
        <w:t xml:space="preserve">Ποσότητα προμήθειας  </w:t>
      </w:r>
      <w:r>
        <w:rPr>
          <w:b/>
        </w:rPr>
        <w:t>10.</w:t>
      </w:r>
      <w:r>
        <w:rPr>
          <w:b/>
          <w:lang w:val="en-US"/>
        </w:rPr>
        <w:t>000</w:t>
      </w:r>
      <w:r>
        <w:t xml:space="preserve"> ρολά</w:t>
      </w:r>
      <w:r>
        <w:t xml:space="preserve">. </w:t>
      </w:r>
    </w:p>
    <w:p w:rsidR="00271803" w:rsidRDefault="00271803">
      <w:pPr>
        <w:rPr>
          <w:b/>
        </w:rPr>
      </w:pPr>
    </w:p>
    <w:p w:rsidR="00271803" w:rsidRDefault="004C59F1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Υγρό σαπούνι χεριών (αφρός)</w:t>
      </w:r>
    </w:p>
    <w:p w:rsidR="00271803" w:rsidRDefault="004C59F1">
      <w:r>
        <w:t xml:space="preserve"> Υγρό σαπούνι χεριών αρωματισμένο, για δοσομετρητή που παράγει αφρό.</w:t>
      </w:r>
    </w:p>
    <w:p w:rsidR="00271803" w:rsidRDefault="004C59F1">
      <w:pPr>
        <w:rPr>
          <w:b/>
        </w:rPr>
      </w:pPr>
      <w:r>
        <w:t xml:space="preserve">Ποσότητα προμήθειας </w:t>
      </w:r>
      <w:r>
        <w:rPr>
          <w:b/>
        </w:rPr>
        <w:t>2.500</w:t>
      </w:r>
      <w:r>
        <w:t xml:space="preserve"> λίτρα</w:t>
      </w:r>
      <w:r>
        <w:rPr>
          <w:b/>
        </w:rPr>
        <w:t xml:space="preserve"> </w:t>
      </w:r>
    </w:p>
    <w:p w:rsidR="00271803" w:rsidRDefault="00271803">
      <w:pPr>
        <w:rPr>
          <w:b/>
        </w:rPr>
      </w:pPr>
    </w:p>
    <w:p w:rsidR="00271803" w:rsidRDefault="004C59F1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Χαρτί υγείας</w:t>
      </w:r>
    </w:p>
    <w:p w:rsidR="00271803" w:rsidRDefault="004C59F1">
      <w:r>
        <w:t xml:space="preserve"> Χαρτί υγείας 500gr λευκό </w:t>
      </w:r>
      <w:proofErr w:type="spellStart"/>
      <w:r>
        <w:t>υδατοδιαλυτό</w:t>
      </w:r>
      <w:proofErr w:type="spellEnd"/>
      <w:r>
        <w:t>, 100% καθαρή χαρτομάζα, χωρίς χημικά πρόσθετα και απαγορευμένες λευκ</w:t>
      </w:r>
      <w:r>
        <w:t>αντικές ουσίες π.χ. οπτικά λευκαντικά, διπλού φύλλου.</w:t>
      </w:r>
    </w:p>
    <w:p w:rsidR="00271803" w:rsidRDefault="004C59F1">
      <w:r>
        <w:t>Ενδεικτικό ειδικό βάρος χαρτιού υγείας 25</w:t>
      </w:r>
      <w:r>
        <w:rPr>
          <w:lang w:val="en-US" w:bidi="en-US"/>
        </w:rPr>
        <w:t>gr</w:t>
      </w:r>
      <w:r>
        <w:t>/</w:t>
      </w:r>
      <w:r>
        <w:rPr>
          <w:lang w:val="en-US" w:bidi="en-US"/>
        </w:rPr>
        <w:t>m</w:t>
      </w:r>
      <w:r>
        <w:rPr>
          <w:vertAlign w:val="superscript"/>
          <w:lang w:bidi="en-US"/>
        </w:rPr>
        <w:t>2</w:t>
      </w:r>
      <w:r>
        <w:rPr>
          <w:vertAlign w:val="superscript"/>
        </w:rPr>
        <w:t xml:space="preserve"> </w:t>
      </w:r>
    </w:p>
    <w:p w:rsidR="00271803" w:rsidRDefault="004C59F1">
      <w:pPr>
        <w:rPr>
          <w:b/>
        </w:rPr>
      </w:pPr>
      <w:r>
        <w:t xml:space="preserve">Ποσότητα προμήθειας </w:t>
      </w:r>
      <w:r>
        <w:rPr>
          <w:b/>
        </w:rPr>
        <w:t>10.000</w:t>
      </w:r>
      <w:r>
        <w:t xml:space="preserve"> ρολά</w:t>
      </w:r>
      <w:r>
        <w:rPr>
          <w:b/>
        </w:rPr>
        <w:t xml:space="preserve"> </w:t>
      </w:r>
    </w:p>
    <w:p w:rsidR="00271803" w:rsidRDefault="004C59F1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Χαρτί υγείας μικρό</w:t>
      </w:r>
    </w:p>
    <w:p w:rsidR="00271803" w:rsidRDefault="004C59F1">
      <w:r>
        <w:rPr>
          <w:b/>
        </w:rPr>
        <w:t xml:space="preserve">     </w:t>
      </w:r>
      <w:r>
        <w:t xml:space="preserve">Χαρτί υγείας 200gr λευκό </w:t>
      </w:r>
      <w:proofErr w:type="spellStart"/>
      <w:r>
        <w:t>υδατοδιαλυτό</w:t>
      </w:r>
      <w:proofErr w:type="spellEnd"/>
      <w:r>
        <w:t>, 100% καθαρή χαρτομάζα, χωρίς χημικά πρόσθετα και απαγορευμ</w:t>
      </w:r>
      <w:r>
        <w:t>ένες λευκαντικές ουσίες π.χ. οπτικά λευκαντικά, διπλού φύλλου.</w:t>
      </w:r>
    </w:p>
    <w:p w:rsidR="00271803" w:rsidRDefault="004C59F1">
      <w:r>
        <w:t>Ενδεικτικό ειδικό βάρος χαρτιού υγείας 25</w:t>
      </w:r>
      <w:r>
        <w:rPr>
          <w:lang w:val="en-US" w:bidi="en-US"/>
        </w:rPr>
        <w:t>gr</w:t>
      </w:r>
      <w:r>
        <w:t>/</w:t>
      </w:r>
      <w:r>
        <w:rPr>
          <w:lang w:val="en-US" w:bidi="en-US"/>
        </w:rPr>
        <w:t>m</w:t>
      </w:r>
      <w:r>
        <w:rPr>
          <w:vertAlign w:val="superscript"/>
          <w:lang w:bidi="en-US"/>
        </w:rPr>
        <w:t>2</w:t>
      </w:r>
      <w:r>
        <w:t xml:space="preserve"> </w:t>
      </w:r>
    </w:p>
    <w:p w:rsidR="00271803" w:rsidRDefault="004C59F1">
      <w:r>
        <w:t xml:space="preserve">Ποσότητα προμήθειας </w:t>
      </w:r>
      <w:r>
        <w:rPr>
          <w:b/>
        </w:rPr>
        <w:t>3000</w:t>
      </w:r>
      <w:r>
        <w:t xml:space="preserve"> ρολά.</w:t>
      </w:r>
    </w:p>
    <w:p w:rsidR="00271803" w:rsidRDefault="00271803"/>
    <w:p w:rsidR="00271803" w:rsidRDefault="004C59F1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Τεχνικός Εξοπλισμός</w:t>
      </w:r>
    </w:p>
    <w:p w:rsidR="00271803" w:rsidRDefault="004C59F1">
      <w:r>
        <w:rPr>
          <w:b/>
        </w:rPr>
        <w:t xml:space="preserve">     </w:t>
      </w:r>
      <w:r>
        <w:t>.</w:t>
      </w:r>
    </w:p>
    <w:p w:rsidR="00271803" w:rsidRDefault="004C59F1">
      <w:r>
        <w:t xml:space="preserve"> Οι συσκευές </w:t>
      </w:r>
      <w:proofErr w:type="spellStart"/>
      <w:r>
        <w:t>χειροπετσετών</w:t>
      </w:r>
      <w:proofErr w:type="spellEnd"/>
      <w:r>
        <w:t xml:space="preserve"> που θα διατεθούν θα πρέπει να είναι αυτόματης διάθεσης υλικού.</w:t>
      </w:r>
    </w:p>
    <w:p w:rsidR="00271803" w:rsidRDefault="004C59F1">
      <w:r>
        <w:t xml:space="preserve">Οι συσκευές υγρού σαπουνιού χεριών θα πρέπει να παρέχουν αφρό με χειροκίνητο δοσομετρητή. </w:t>
      </w:r>
    </w:p>
    <w:p w:rsidR="00271803" w:rsidRDefault="004C59F1">
      <w:r>
        <w:t xml:space="preserve"> Οι συσκευές χαρτιού υγείας θα πρέπει να είναι κατάλληλες για ρολά 500gr χω</w:t>
      </w:r>
      <w:r>
        <w:t>ρίς ηλεκτρικό μηχανισμό.</w:t>
      </w:r>
    </w:p>
    <w:p w:rsidR="00271803" w:rsidRDefault="00271803"/>
    <w:p w:rsidR="00271803" w:rsidRDefault="004C59F1">
      <w:r>
        <w:t>Οι θέσεις οι οποίες απαιτούνται για όλα τα κτίρια της Βουλής έχουν ως εξής:</w:t>
      </w:r>
    </w:p>
    <w:p w:rsidR="00271803" w:rsidRDefault="004C59F1">
      <w:r>
        <w:t xml:space="preserve">Θέσεις </w:t>
      </w:r>
      <w:proofErr w:type="spellStart"/>
      <w:r>
        <w:t>χειροπετσετών</w:t>
      </w:r>
      <w:proofErr w:type="spellEnd"/>
      <w:r>
        <w:t xml:space="preserve"> </w:t>
      </w:r>
      <w:r>
        <w:rPr>
          <w:b/>
        </w:rPr>
        <w:t>266</w:t>
      </w:r>
    </w:p>
    <w:p w:rsidR="00271803" w:rsidRDefault="004C59F1">
      <w:r>
        <w:t xml:space="preserve">Θέσεις </w:t>
      </w:r>
      <w:proofErr w:type="spellStart"/>
      <w:r>
        <w:t>σαπουνοθηκών</w:t>
      </w:r>
      <w:proofErr w:type="spellEnd"/>
      <w:r>
        <w:t xml:space="preserve"> </w:t>
      </w:r>
      <w:r>
        <w:rPr>
          <w:b/>
        </w:rPr>
        <w:t>360</w:t>
      </w:r>
    </w:p>
    <w:p w:rsidR="00271803" w:rsidRDefault="004C59F1">
      <w:r>
        <w:t xml:space="preserve">Θέσεις για χαρτί υγείας </w:t>
      </w:r>
      <w:r>
        <w:rPr>
          <w:b/>
        </w:rPr>
        <w:t>350</w:t>
      </w:r>
    </w:p>
    <w:p w:rsidR="00271803" w:rsidRDefault="004C59F1">
      <w:r>
        <w:t xml:space="preserve">Θέσεις για χαρτί υγείας μικρό </w:t>
      </w:r>
      <w:r>
        <w:rPr>
          <w:b/>
        </w:rPr>
        <w:t>85</w:t>
      </w:r>
    </w:p>
    <w:p w:rsidR="00271803" w:rsidRDefault="004C59F1">
      <w:r>
        <w:t>Όλες οι παραπάνω θέσεις εκτός από τις θέσεις</w:t>
      </w:r>
      <w:r>
        <w:t xml:space="preserve"> για το μικρό χαρτί υγείας, θα καλυφθούν με το σύστημα </w:t>
      </w:r>
      <w:proofErr w:type="spellStart"/>
      <w:r>
        <w:t>χρησιδάνειας</w:t>
      </w:r>
      <w:proofErr w:type="spellEnd"/>
      <w:r>
        <w:t xml:space="preserve"> συσκευής.</w:t>
      </w:r>
    </w:p>
    <w:p w:rsidR="00271803" w:rsidRDefault="00271803"/>
    <w:p w:rsidR="00271803" w:rsidRDefault="004C59F1">
      <w:pPr>
        <w:rPr>
          <w:b/>
        </w:rPr>
      </w:pPr>
      <w:r>
        <w:rPr>
          <w:b/>
        </w:rPr>
        <w:t>ΓΕΝΙΚΟΙ ΟΡΟΙ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Όλοι οι ενδιαφερόμενοι θα πρέπει να επισκεφθούν τους χώρους προκειμένου να λάβουν γνώση του αντικειμένου των εργασιών και των ειδικών συνθηκών του έργου.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Ο ανάδοχος</w:t>
      </w:r>
      <w:r>
        <w:rPr>
          <w:lang w:bidi="el-GR"/>
        </w:rPr>
        <w:t xml:space="preserve"> θα είναι υπεύθυνος για τον πλήρη συντονισμό όλων των φάσεων των εργασιών που πρέπει να εκτελεστούν.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 xml:space="preserve">Για λόγους ασφαλείας ο ανάδοχος υποχρεούται, όπως ενημερώνει την αρμόδια διεύθυνση της Βουλής σχετικά με τα ονοματεπώνυμα και τους αριθμούς ταυτότητας των </w:t>
      </w:r>
      <w:r>
        <w:rPr>
          <w:lang w:bidi="el-GR"/>
        </w:rPr>
        <w:t>προσώπων (προσωπικού, συνεργατών, βοηθών εκπλήρωσης) που θα χρησιμοποιήσει κατά την εκτέλεση του έργου, ώστε να εκδίδονται οι σχετικές άδειες εισόδου.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Η Βουλή έχει το δικαίωμα να απαιτεί οποτεδήποτε από τον ανάδοχο, την αντικατάσταση οποιοδήποτε προσώπου α</w:t>
      </w:r>
      <w:r>
        <w:rPr>
          <w:lang w:bidi="el-GR"/>
        </w:rPr>
        <w:t>πό τα προαναφερόμενα θεωρεί κατά την κρίση της ακατάλληλο.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Ο ανάδοχος υποχρεούται να τηρεί απαρεγκλίτως και να εφαρμόζει όλες τις διατάξεις της εργατικής νομοθεσίας. Ειδικότερα, υποχρεούται στην καταβολή των νόμιμων αποδοχών του προσωπικού που απασχολεί, ο</w:t>
      </w:r>
      <w:r>
        <w:rPr>
          <w:lang w:bidi="el-GR"/>
        </w:rPr>
        <w:t xml:space="preserve">ι οποίες σε καμία περίπτωση δεν μπορεί να είναι κατώτερες των προβλεπόμενων από την οικεία κλαδική Σ.Σ.Ε., στην τήρηση του νόμιμου ωραρίου, στην ασφαλιστική κάλυψη, στους όρους </w:t>
      </w:r>
      <w:r>
        <w:rPr>
          <w:lang w:bidi="el-GR"/>
        </w:rPr>
        <w:lastRenderedPageBreak/>
        <w:t>υγιεινής και ασφάλειας των εργαζομένων (χρήση Μ.Α.Π.) κλπ.. Σε περίπτωση που θα</w:t>
      </w:r>
      <w:r>
        <w:rPr>
          <w:lang w:bidi="el-GR"/>
        </w:rPr>
        <w:t xml:space="preserve"> διαπιστωθεί παράβαση των ανωτέρω, θα καταγγέλλεται η σύμβαση με την ανάδοχο εταιρεία.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 xml:space="preserve">Ο ανάδοχος είναι αποκλειστικά υπεύθυνος και υπόχρεος για την ασφάλιση όλων όσων απασχοληθούν κατά την εκτέλεση του αντικειμένου της παρούσας, καθώς και για την καταβολή </w:t>
      </w:r>
      <w:r>
        <w:rPr>
          <w:lang w:bidi="el-GR"/>
        </w:rPr>
        <w:t>ασφαλιστικών εισφορών εργοδότου και ασφαλισμένων στο Ι.Κ.Α. ή σε οποιοδήποτε άλλο κατά το νόμο ασφαλιστικό φορέα κύριας ή επικουρικής ασφάλισης. Σε περίπτωση που από οποιοδήποτε ασφαλιστικό φορέα επιβληθεί σε βάρος της Βουλής η καταβολή οποιασδήποτε ασφαλι</w:t>
      </w:r>
      <w:r>
        <w:rPr>
          <w:lang w:bidi="el-GR"/>
        </w:rPr>
        <w:t>στικής εισφοράς για το ανωτέρω έργο ο ανάδοχος υποχρεούται να καταβάλει σε αυτή το αντίστοιχο ποσό.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</w:t>
      </w:r>
      <w:r>
        <w:rPr>
          <w:lang w:bidi="el-GR"/>
        </w:rPr>
        <w:t>την Ελλάδα.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Ο ανάδοχος είναι ο μοναδικός υπεύθυνος και υπόχρεος για την αποζημίωση οποιουδήποτε, για κάθε φύσεως εργασία και είδους ζημιές, που τυχόν υποστεί από πράξεις ή παραλείψεις του ιδίου ή των προσώπων που θα χρησιμοποιήσει για την εκτέλεση του έργο</w:t>
      </w:r>
      <w:r>
        <w:rPr>
          <w:lang w:bidi="el-GR"/>
        </w:rPr>
        <w:t>υ. Στις περιπτώσεις αυτές, αν υποχρεωθεί η Βουλή να καταβάλει οποιαδήποτε αποζημίωση, ο ανάδοχος υποχρεούται να καταβάλει σε αυτήν το αντίστοιχο ποσό, συμπεριλαμβανομένων τυχόν τόκων και εξόδων. Η Βουλή δε φέρει καμία αστική ή άλλη ευθύνη έναντι του προσωπ</w:t>
      </w:r>
      <w:r>
        <w:rPr>
          <w:lang w:bidi="el-GR"/>
        </w:rPr>
        <w:t>ικού που θα απασχολεί για την εκτέλεση του έργου.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Ο ανάδοχος θα μεταφέρει όλα τα υλικά και τεχνικό εξοπλισμό κατάλληλα συσκευασμένα ώστε να αποφευχθούν ζημιές και παραμορφώσεις κατά τη μεταφορά. Κάθε υλικό υπόκειται στην έγκριση της επιτροπής παρακολούθηση</w:t>
      </w:r>
      <w:r>
        <w:rPr>
          <w:lang w:bidi="el-GR"/>
        </w:rPr>
        <w:t>ς και παραλαβής, που έχει το δικαίωμα απόρριψης οποιουδήποτε υλικού που η ποιότητα ή τα τεχνικά χαρακτηριστικά του κρίνονται μη ικανοποιητικά ή ανεπαρκή για την εκτέλεση της εγκατάστασης.</w:t>
      </w:r>
    </w:p>
    <w:p w:rsidR="00271803" w:rsidRDefault="004C59F1">
      <w:pPr>
        <w:numPr>
          <w:ilvl w:val="0"/>
          <w:numId w:val="3"/>
        </w:numPr>
      </w:pPr>
      <w:r>
        <w:t>Όλα τα υλικά θα πρέπει να είναι φιλικά προς το περιβάλλον και να έχο</w:t>
      </w:r>
      <w:r>
        <w:t>υν την έγκριση του Γενικού Χημείου του Κράτους.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 xml:space="preserve">Ο ανάδοχος υποχρεούται να παραδίδει τα υλικά στους </w:t>
      </w:r>
      <w:r>
        <w:t>υποδεικνυόμενους</w:t>
      </w:r>
      <w:r>
        <w:rPr>
          <w:lang w:bidi="el-GR"/>
        </w:rPr>
        <w:t xml:space="preserve"> χώρους αποθήκευσης από την επιτροπή παραλαβής.</w:t>
      </w:r>
    </w:p>
    <w:p w:rsidR="00271803" w:rsidRDefault="004C59F1">
      <w:pPr>
        <w:numPr>
          <w:ilvl w:val="0"/>
          <w:numId w:val="3"/>
        </w:numPr>
      </w:pPr>
      <w:r>
        <w:t>Ο μειοδότης-προμηθευτής θα παρέχει τα απαιτούμενα προϊόντα - είδη, σε χρονικό διάστημα δύο(2)</w:t>
      </w:r>
      <w:r>
        <w:t xml:space="preserve"> ημερών από την έγγραφη ειδοποίησή του, τμηματικά και ανάλογα με τις εκάστοτε ανάγκες της Βουλής και σε συνεννόηση με το αρμόδιο τμήμα Καθαριότητας και την επιτροπή παραλαβής.</w:t>
      </w:r>
    </w:p>
    <w:p w:rsidR="00271803" w:rsidRDefault="004C59F1">
      <w:pPr>
        <w:numPr>
          <w:ilvl w:val="0"/>
          <w:numId w:val="3"/>
        </w:numPr>
      </w:pPr>
      <w:r>
        <w:t>Η συντήρηση, η αποκατάσταση βλάβης, η αλλαγή των συσκευών όπου δεν αποκαθίσταται</w:t>
      </w:r>
      <w:r>
        <w:t xml:space="preserve"> η βλάβη και τυχόν αλλαγές συσσωρευτών τους, θα γίνεται άμεσα εντός εικοσιτετράωρου (24ωρου) από την ειδοποίηση του αρμόδιου υπαλλήλου του Τμήματος Καθαριότητας και θα βαρύνει τον προμηθευτή.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Η πληρωμή του αναδόχου θα γίνεται με την 1)υποβολή της βεβαίωσης</w:t>
      </w:r>
      <w:r>
        <w:rPr>
          <w:lang w:bidi="el-GR"/>
        </w:rPr>
        <w:t xml:space="preserve"> της αρμόδια επιτροπής παραλαβής και 2) με την προσκόμιση του σχετικού τιμολογίου.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 xml:space="preserve">Κατά την υπογραφή της Σύμβασης ο ανάδοχος θα προσκομίσει Εγγυητική Επιστολή Καλής Εκτέλεσης, ποσοστού πέντε επί τοις εκατό (5%) του ποσού της Συμβάσεως </w:t>
      </w:r>
      <w:r>
        <w:rPr>
          <w:lang w:bidi="el-GR"/>
        </w:rPr>
        <w:lastRenderedPageBreak/>
        <w:t xml:space="preserve">(χωρίς Φ.Π.Α.). Ως </w:t>
      </w:r>
      <w:r>
        <w:rPr>
          <w:lang w:bidi="el-GR"/>
        </w:rPr>
        <w:t>χρόνος εγγύησης ορίζεται το διάστημα των 25 μηνών από την υπογραφή της Σύμβασης.</w:t>
      </w:r>
    </w:p>
    <w:p w:rsidR="00271803" w:rsidRDefault="004C59F1">
      <w:pPr>
        <w:numPr>
          <w:ilvl w:val="0"/>
          <w:numId w:val="3"/>
        </w:numPr>
      </w:pPr>
      <w:r>
        <w:rPr>
          <w:lang w:bidi="el-GR"/>
        </w:rPr>
        <w:t>Ο κάθε ενδιαφερόμενος δύναται να υποβάλει οικονομική προσφορά για ένα ή για περισσότερα είδη.</w:t>
      </w:r>
    </w:p>
    <w:p w:rsidR="00271803" w:rsidRDefault="004C59F1">
      <w:pPr>
        <w:numPr>
          <w:ilvl w:val="0"/>
          <w:numId w:val="3"/>
        </w:numPr>
      </w:pPr>
      <w:r>
        <w:t>Σε περίπτωση που ο ανάδοχος δεν προσέλθει για να υπογράψει τη Σύμβαση εντός του ο</w:t>
      </w:r>
      <w:r>
        <w:t xml:space="preserve">ριζόμενου από την απόφαση ανάθεσης χρονικού διαστήματος, θα κηρύσσεται αυτομάτως έκπτωτος και θα υφίσταται όλες τις προβλεπόμενες νόμιμες κυρώσεις. </w:t>
      </w:r>
    </w:p>
    <w:p w:rsidR="00271803" w:rsidRDefault="004C59F1">
      <w:pPr>
        <w:numPr>
          <w:ilvl w:val="0"/>
          <w:numId w:val="3"/>
        </w:numPr>
      </w:pPr>
      <w:r>
        <w:t xml:space="preserve">Οι ενδιαφερόμενοι θα καταθέσουν οικονομική προσφορά αναλυτικά </w:t>
      </w:r>
      <w:r>
        <w:rPr>
          <w:lang w:bidi="el-GR"/>
        </w:rPr>
        <w:t>για ένα ή για περισσότερα είδη</w:t>
      </w:r>
      <w:r>
        <w:t xml:space="preserve"> και συνολικό κ</w:t>
      </w:r>
      <w:r>
        <w:t xml:space="preserve">ατά αποκοπή τίμημα. Ο μειοδότης θα ανακηρύσσεται ανά είδος.  Ο Φ.Π.Α. θα βαρύνει τη Βουλή. Για την τελική επιλογή του προμηθευτή-των, κριτήριο είναι η πλέον συμφέρουσα τιμή από οικονομικής άποψης προσφοράς μόνο βάση τιμής (η χαμηλότερη τιμή) ανά είδος.  Η </w:t>
      </w:r>
      <w:r>
        <w:t xml:space="preserve">διάρκεια της σύμβασης θα είναι για </w:t>
      </w:r>
      <w:r>
        <w:rPr>
          <w:b/>
        </w:rPr>
        <w:t>δύο (2) έτη</w:t>
      </w:r>
      <w:r>
        <w:t xml:space="preserve"> από την ημέρα υπογραφής της σύμβασης, με δικαίωμα ανανέωσης ενός (1) έτους από τη Βουλή καθώς και δικαίωμα προαίρεσης έως 50% του συμβατικού αντικειμένου.</w:t>
      </w:r>
    </w:p>
    <w:p w:rsidR="00271803" w:rsidRDefault="004C59F1">
      <w:pPr>
        <w:numPr>
          <w:ilvl w:val="0"/>
          <w:numId w:val="3"/>
        </w:numPr>
        <w:rPr>
          <w:b/>
        </w:rPr>
      </w:pPr>
      <w:r>
        <w:rPr>
          <w:lang w:bidi="el-GR"/>
        </w:rPr>
        <w:t>Οι συμμετέχοντες υποχρεούνται να υποβάλουν την οικονομ</w:t>
      </w:r>
      <w:r>
        <w:rPr>
          <w:lang w:bidi="el-GR"/>
        </w:rPr>
        <w:t>ική τους προσφορά στο υπόδειγμα έντυπο της Τεχνικής Υπηρεσίας, στο οποίο συμπεριλαμβάνεται η αποδοχή των όρων της παρούσας τεχνικής περιγραφής και ότι έχουν λάβει υπόψη τις συνθήκες του έργου. Η οικονομική προσφορά θα κατατεθεί σε κλειστό φάκελο στο υπόδει</w:t>
      </w:r>
      <w:r>
        <w:rPr>
          <w:lang w:bidi="el-GR"/>
        </w:rPr>
        <w:t>γμα έντυπο της Τεχνικής Υπηρεσίας, με πρωτότυπη υπογραφή και σφραγίδα.</w:t>
      </w:r>
    </w:p>
    <w:p w:rsidR="00271803" w:rsidRDefault="00271803"/>
    <w:p w:rsidR="00271803" w:rsidRDefault="00271803">
      <w:pPr>
        <w:ind w:left="720"/>
      </w:pPr>
    </w:p>
    <w:p w:rsidR="00271803" w:rsidRDefault="00271803">
      <w:pPr>
        <w:rPr>
          <w:b/>
        </w:rPr>
      </w:pPr>
    </w:p>
    <w:p w:rsidR="00271803" w:rsidRDefault="004C59F1">
      <w:pPr>
        <w:jc w:val="right"/>
        <w:rPr>
          <w:b/>
        </w:rPr>
      </w:pPr>
      <w:r>
        <w:rPr>
          <w:b/>
        </w:rPr>
        <w:t xml:space="preserve">                                                              Ο Προϊστάμενος         </w:t>
      </w:r>
    </w:p>
    <w:p w:rsidR="00271803" w:rsidRDefault="00271803">
      <w:pPr>
        <w:jc w:val="right"/>
        <w:rPr>
          <w:b/>
        </w:rPr>
      </w:pPr>
    </w:p>
    <w:p w:rsidR="00271803" w:rsidRDefault="004C59F1">
      <w:pPr>
        <w:jc w:val="right"/>
      </w:pPr>
      <w:r>
        <w:rPr>
          <w:b/>
        </w:rPr>
        <w:t xml:space="preserve">                                            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   Ιωάννης </w:t>
      </w:r>
      <w:proofErr w:type="spellStart"/>
      <w:r>
        <w:rPr>
          <w:b/>
        </w:rPr>
        <w:t>Βιδάκης</w:t>
      </w:r>
      <w:proofErr w:type="spellEnd"/>
    </w:p>
    <w:sectPr w:rsidR="00271803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AE7"/>
    <w:multiLevelType w:val="hybridMultilevel"/>
    <w:tmpl w:val="910886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D1443"/>
    <w:multiLevelType w:val="multilevel"/>
    <w:tmpl w:val="6DBE8BD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32"/>
      </w:rPr>
    </w:lvl>
    <w:lvl w:ilvl="1">
      <w:start w:val="1"/>
      <w:numFmt w:val="decimal"/>
      <w:lvlText w:val="%2."/>
      <w:lvlJc w:val="left"/>
      <w:pPr>
        <w:ind w:left="900" w:hanging="360"/>
      </w:pPr>
      <w:rPr>
        <w:color w:val="000000"/>
        <w:sz w:val="22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  <w:color w:val="000000"/>
        <w:sz w:val="22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/>
        <w:color w:val="000000"/>
        <w:sz w:val="22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/>
        <w:color w:val="000000"/>
        <w:sz w:val="22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  <w:color w:val="000000"/>
        <w:sz w:val="22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/>
        <w:color w:val="000000"/>
        <w:sz w:val="22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/>
        <w:color w:val="000000"/>
        <w:sz w:val="22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  <w:color w:val="000000"/>
        <w:sz w:val="22"/>
      </w:rPr>
    </w:lvl>
  </w:abstractNum>
  <w:abstractNum w:abstractNumId="2" w15:restartNumberingAfterBreak="0">
    <w:nsid w:val="683ABACA"/>
    <w:multiLevelType w:val="hybridMultilevel"/>
    <w:tmpl w:val="4DD683F2"/>
    <w:lvl w:ilvl="0" w:tplc="4D8F8CEA">
      <w:start w:val="1"/>
      <w:numFmt w:val="decimal"/>
      <w:lvlText w:val="%1."/>
      <w:lvlJc w:val="left"/>
      <w:pPr>
        <w:ind w:left="720" w:hanging="360"/>
      </w:pPr>
    </w:lvl>
    <w:lvl w:ilvl="1" w:tplc="34DD9CEF">
      <w:start w:val="1"/>
      <w:numFmt w:val="decimal"/>
      <w:lvlText w:val="%2."/>
      <w:lvlJc w:val="left"/>
      <w:pPr>
        <w:ind w:left="1440" w:hanging="360"/>
      </w:pPr>
    </w:lvl>
    <w:lvl w:ilvl="2" w:tplc="44CCD507">
      <w:start w:val="1"/>
      <w:numFmt w:val="decimal"/>
      <w:lvlText w:val="%3."/>
      <w:lvlJc w:val="left"/>
      <w:pPr>
        <w:ind w:left="2160" w:hanging="360"/>
      </w:pPr>
    </w:lvl>
    <w:lvl w:ilvl="3" w:tplc="760B4F09">
      <w:start w:val="1"/>
      <w:numFmt w:val="decimal"/>
      <w:lvlText w:val="%4."/>
      <w:lvlJc w:val="left"/>
      <w:pPr>
        <w:ind w:left="2880" w:hanging="360"/>
      </w:pPr>
    </w:lvl>
    <w:lvl w:ilvl="4" w:tplc="4EC323F0">
      <w:start w:val="1"/>
      <w:numFmt w:val="decimal"/>
      <w:lvlText w:val="%5."/>
      <w:lvlJc w:val="left"/>
      <w:pPr>
        <w:ind w:left="3600" w:hanging="360"/>
      </w:pPr>
    </w:lvl>
    <w:lvl w:ilvl="5" w:tplc="0ED3618B">
      <w:start w:val="1"/>
      <w:numFmt w:val="decimal"/>
      <w:lvlText w:val="%6."/>
      <w:lvlJc w:val="left"/>
      <w:pPr>
        <w:ind w:left="4320" w:hanging="360"/>
      </w:pPr>
    </w:lvl>
    <w:lvl w:ilvl="6" w:tplc="5659ACE5">
      <w:start w:val="1"/>
      <w:numFmt w:val="decimal"/>
      <w:lvlText w:val="%7."/>
      <w:lvlJc w:val="left"/>
      <w:pPr>
        <w:ind w:left="5040" w:hanging="360"/>
      </w:pPr>
    </w:lvl>
    <w:lvl w:ilvl="7" w:tplc="049A8641">
      <w:start w:val="1"/>
      <w:numFmt w:val="decimal"/>
      <w:lvlText w:val="%8."/>
      <w:lvlJc w:val="left"/>
      <w:pPr>
        <w:ind w:left="5760" w:hanging="360"/>
      </w:pPr>
    </w:lvl>
    <w:lvl w:ilvl="8" w:tplc="7FA198A7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1803"/>
    <w:rsid w:val="00271803"/>
    <w:rsid w:val="004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223E7-0FFB-48C9-B12E-0110033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pPr>
      <w:spacing w:after="0" w:line="240" w:lineRule="auto"/>
    </w:pPr>
    <w:rPr>
      <w:rFonts w:ascii="Segoe UI" w:hAnsi="Segoe UI"/>
      <w:sz w:val="18"/>
    </w:rPr>
  </w:style>
  <w:style w:type="character" w:styleId="a4">
    <w:name w:val="line number"/>
    <w:basedOn w:val="a0"/>
    <w:semiHidden/>
  </w:style>
  <w:style w:type="character" w:styleId="-">
    <w:name w:val="Hyperlink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6361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Χαρατσάρης Νικόλαος</cp:lastModifiedBy>
  <cp:revision>2</cp:revision>
  <dcterms:created xsi:type="dcterms:W3CDTF">2016-10-18T08:42:00Z</dcterms:created>
  <dcterms:modified xsi:type="dcterms:W3CDTF">2016-10-18T08:43:00Z</dcterms:modified>
</cp:coreProperties>
</file>